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97 vom 29. Juni 2023</w:t>
      </w:r>
    </w:p>
    <w:p>
      <w:r>
        <w:t>VS Kantonsgericht, 2023-06-29, FR</w:t>
      </w:r>
    </w:p>
    <w:p>
      <w:r>
        <w:rPr>
          <w:b/>
        </w:rPr>
        <w:t xml:space="preserve">Quelle: </w:t>
      </w:r>
      <w:r>
        <w:t>https://mcp.opencaselaw.ch/entscheid/vs_gerichte_S2 21 97</w:t>
      </w:r>
    </w:p>
    <w:p>
      <w:r>
        <w:t>FR: VS_GERICHTE S2 21 97 du 29 juin 2023</w:t>
      </w:r>
    </w:p>
    <w:p>
      <w:r>
        <w:t>IT: VS_GERICHTE S2 21 97 del 29 giugno 2023</w:t>
      </w:r>
    </w:p>
    <w:p>
      <w:pPr>
        <w:pStyle w:val="Heading2"/>
      </w:pPr>
      <w:r>
        <w:t>Regeste</w:t>
      </w:r>
    </w:p>
    <w:p>
      <w:r>
        <w:t>S2 21 97 JUGEMENT DU 29 JUIN 2023 Tribunal cantonal du Valais Cour des assurances sociales Composition : Candido Prada, président ; Dr. Thierry Schnyder et Christophe Joris, juges ; Mireille Allegro, greffière en la cause X _________, recourant, représenté par Syndicats Chrétiens du Valais, 1950 Sion contre CAISSE NATIONALE SUISSE D'ASSURANCE EN CAS D'ACCIDENTS (CNA), intimée (art. 6 et 36 LAA ; lien de causalité, statu quo sine et fin des prestations)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14 septembre 2021, le présent recours à l'encontre de la décision sur opposition du 9 août précédent a été interjeté dans le délai légal de trente jours, prolongé par les féries (art. 38 al. 4 et 60 LPGA), et devant la Cour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au-delà du 7 mai 2021, respectivement sur le point de savoir si les troubles dont il souffre encore peuvent être mis en lien de causalité, pour le moins vraisemblable, avec l’accident du 29 septembre 2020. 3.1 Selon l'article 6 alinéa 1 LAA, les prestations d'assurance sont allouées en cas d'accident professionnel, d'accident non professionnel et de maladie professionnelle. Par accident, on entend toute atteinte dommageable, soudaine et involontaire, portée au</w:t>
      </w:r>
    </w:p>
    <w:p>
      <w:r>
        <w:t>- 6 -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w:t>
      </w:r>
    </w:p>
    <w:p>
      <w:r>
        <w:t>- 7 -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et 115 V 403 consid. 5c/bb ; arrêt 8C_540/2018 du 22 juillet 2019 consid. 4.2 ; Jean-Maurice Frésard/Margit Moser-Szeless, L’assurance-accidents obligatoire in : Schweizerisches Bundesverwaltungsrecht [SBVR], Soziale Sicherheit, 3ème éd., 2016, n° 121, p. 934)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et 403 consid. 5 c/bb). 3.2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1992 n° U 142 p. 75 consid. 4b). En principe, on examinera si l’atteinte à la santé est encore imputable à l’accident ou ne l’est plus (statu quo ante ou statu quo sine) selon le critère de la vraisemblance prépondérante, usuel en matière de preuve dans le domaine des</w:t>
      </w:r>
    </w:p>
    <w:p>
      <w:r>
        <w:t>- 8 - assurances sociales (ATF 126 V 360 consid. 5b ; 125 V 195 consid. 2 ; RAMA 2000 n° U 363 p. 46 ; arrêt du Tribunal cantonal genevois ATAS/928/2021 du 14 septembre 2021 consid. 6 et 19).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3.3 Dans le domaine des assurances sociales, l'autorité fonde généralement sa décision sur les faits qui, faute d'être établis de manière irréfutable, apparaissent comme les plus vraisemblables, c'est-à-dire qui présentent un degré de vraisemblance prépondérante (ATF 139 V 176 consid. 5.3 et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 RAMA 1999 n° U 349 p. 478 consid. 2b).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w:t>
      </w:r>
    </w:p>
    <w:p>
      <w:r>
        <w:t>- 9 - 3.2 ; SVR 2007 IV n°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C-5618/2012 du 31 mars 2014 consid. 7). Le cas échéant, l'autorité peut par ailleurs renoncer à l'administration d'une preuve, si elle acquiert la conviction, au terme d'une appréciation anticipée des preuves, qu'une telle mesure ne pourrait l'amener à modifier son opinion (ATF 130 II 425 consid.</w:t>
      </w:r>
    </w:p>
    <w:p>
      <w:r>
        <w:rPr>
          <w:b/>
        </w:rPr>
        <w:t>E. 2.1</w:t>
      </w:r>
    </w:p>
    <w:p>
      <w:r>
        <w:t>et 125 I 127 consid. 6c/cc).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139 V 225 consid. 5.2 ; 135 V 465 consid. 4.6 ; arrêt 9C_108/2011 du 24 octobre 2011 consid. 2.2). 4.1 En l’espèce, le recourant estime que l’intimée ne pouvait pas mettre fin à ses prestations en date du 7 mai 2021, dès lors qu’il n’était pas encore guéri d’un point de vue clinique, selon son médecin traitant. Dans son certificat du 19 mai 2021, la Dresse F _________ a indiqué qu’un traitement était toujours en cours tant pour l’entorse au genou droit, que pour l’anxiété, les insomnies et la dépression réactionnelle à l’accident. Elle n’a toutefois pas expliqué pourquoi un tel traitement était toujours nécessaire, alors même que les derniers</w:t>
      </w:r>
    </w:p>
    <w:p>
      <w:r>
        <w:t>- 10 - examens étaient satisfaisants et qu’elle avait pronostiqué, à l’instar du Dr G _________, une guérison à 6 mois après l’accident. En outre, la Dresse F _________ s’est contentée d’attester que son patient n’avait jamais souffert de pathologies similaires avant son accident du 29 septembre 2020. Or, ce raisonnement de type « post hoc, ergo propter hoc » est impropre à établir un lien de causalité au degré de vraisemblance exigé, en l’absence de tout autre élément objectif démontrant la persistance d’une atteinte au niveau orthopédique. A cet égard, comme l’a constaté le Dr H _________ dans son avis du 7 mai 2021, puis dans son appréciation médicale du 11 juin 2021, l’IRM de contrôle du 8 avril 2021 a montré la disparition complète de l’atteinte du condyle externe, ainsi qu’une bonne restitution des structures internes au niveau des ligaments. La Dresse F _________ ne prétend pas le contraire. En outre, force est de constater que lors des examens d’orthopédie et de physiothérapie des 4 et 8 avril 2021, le recourant marchait correctement, avec une amplitude complète de mouvement, que son genou droit était d’aspect normal et sans épanchement, que la rotule était mobile et que le ligament collatéral médial présentait une bonne laxité ligamentaire. Au vu de ces résultats satisfaisants, c’est à juste titre que le Dr H _________, respectivement l’intimée, a considéré qu’à plus de 8 mois après l’événement, celui-ci ne jouait plus de rôle dans la persistance des plaintes orthopédiques de l’assuré. 4.2 S’agissant des troubles psychogènes dont se plaint le recourant (insomnie, anxiété, dépression réactionnelle), pour lesquels aucun diagnostic CIM-10 n’a été posé, il sied d’examiner le lien de causalité adéquate entre ces troubles et l’accident du 29 septembre 2020. 4.2.1 En premier lieu, conformément à la jurisprudence topique précitée, il convient de classer l’événement dans l’une des trois catégories d’accident (peu de gravité, gravité moyenne, accident grave). Au vu des explications peu claires de l’assuré sur le déroulement de l’événement et de la description de l’accident faite par les médecins dans leurs rapports, il apparaît que l’intéressé a été confronté à un événement pouvant être classé dans la catégorie des accidents de gravité moyenne « stricto sensu », comme l’a fait l’intimée. Ainsi, la réunion cumulative de trois critères au moins parmi les sept consacrés par la jurisprudence doit être donnée afin de pouvoir admettre le caractère adéquat de l’atteinte psychique (arrêts 8C_277/2019 du 22 janvier 2020 consid. 5 et 8C_775/2017 du 13 juin 2018 consid. 5.3), ce qui n’est pas le cas en l’espèce.</w:t>
      </w:r>
    </w:p>
    <w:p>
      <w:r>
        <w:t>- 11 - En effet, objectivement, l’événement n’a pas été particulièrement dramatique ou impressionnant. Les lésions découvertes lors des examens médicaux ne se sont pas révélées particulièrement graves puisqu’aucune intervention chirurgicale n’a été jugée nécessaire et seul un traitement conservateur a été prescrit. Il ne s’agit pas là d’un traitement lourd. En outre, on ne saurait parler d’une durée anormalement longue dans le cas d’espèce, puisqu’à l’examen du 4 mars 2021, soit moins de 6 mois après l’accident, l’assuré avait déjà retrouvé sa mobilité et une amplitude complète de mouvements au niveau du genou droit. Seules quelques douleurs à l’insertion étaient encore présentes, ce qui ne permet pas de retenir le critère de douleurs physiques persistantes. Enfin, aucun rapport médical ne fait état de difficultés apparues au cours de la guérison ou de complications importantes. Au contraire, au vu des examens radiologiques et cliniques réalisés, il semble que le genou droit du recourant a retrouvé une anatomie globalement normale. Ainsi, force est de constater que le nombre minimal de critères devant être rempli selon la jurisprudence (ATF 115 V 133) n’est pas atteint dans le cas du recourant. L’on ne saurait de surcroît considérer que l’un des critères se soit manifesté avec une intensité particulière ou que l’accident du 29 septembre 2020 soit apparu comme l’un des plus graves de la catégorie intermédiaire.</w:t>
      </w:r>
    </w:p>
    <w:p>
      <w:r>
        <w:rPr>
          <w:b/>
        </w:rPr>
        <w:t>E. 5</w:t>
      </w:r>
    </w:p>
    <w:p>
      <w:r>
        <w:t>Au vu des éléments qui précèdent, c’est à bon droit que la CNA a nié l’existence d’un lien de causalité adéquate entre les troubles psychiques et l’évènement assuré et a mis fin à ses prestations à la date de la constatation par le Dr H _________ (7 mai 2021) de la disparition des lésions au genou droit sur l’IRM de contrôle réalisée le 8 avril 2021 (pièce 99)</w:t>
      </w:r>
    </w:p>
    <w:p>
      <w:r>
        <w:rPr>
          <w:b/>
        </w:rPr>
        <w:t>E. 6</w:t>
      </w:r>
    </w:p>
    <w:p>
      <w:r>
        <w:t>Mal fondé, le recours est rejeté et la décision sur opposition entreprise confirmée. 7.1 Il n’est pas perçu de frais (art. 61 let. fbis LPGA), la loi spéciale, en l’occurrence la LAA, ne prévoyant pas le prélèvement de frais judiciaires. 7.2 Vu l’issue de la cause, il n’est pas alloué de dépens au recourant (art.61 let. g LPGA a contrario), ni à l’intimée, laquelle agit comme autorité chargée de tâches de droit public (art. 91 al. 3 LPJA ; ATF 126 V 143 consid.4).</w:t>
      </w:r>
    </w:p>
    <w:p>
      <w:r>
        <w:t>- 12 - Prononce</w:t>
      </w:r>
    </w:p>
    <w:p>
      <w:r>
        <w:t>1. Le recours est rejeté. 2. Il n'est pas perçu de frais, ni alloué de dépens.</w:t>
      </w:r>
    </w:p>
    <w:p>
      <w:r>
        <w:t>Sion, le 29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